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34" w:rsidRDefault="00EF0B34" w:rsidP="00590396">
      <w:pPr>
        <w:keepNext/>
        <w:keepLines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B34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D34D5B" w:rsidRPr="00D34D5B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комбинированного вида № 11 г. Белгорода</w:t>
      </w:r>
    </w:p>
    <w:p w:rsidR="00D34D5B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</w:pPr>
    </w:p>
    <w:p w:rsidR="00D34D5B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</w:pPr>
    </w:p>
    <w:p w:rsidR="00D34D5B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</w:pPr>
    </w:p>
    <w:p w:rsidR="00D34D5B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</w:pPr>
    </w:p>
    <w:p w:rsidR="00D34D5B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</w:pPr>
    </w:p>
    <w:p w:rsidR="00D34D5B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</w:pPr>
    </w:p>
    <w:p w:rsidR="00D34D5B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</w:pPr>
    </w:p>
    <w:p w:rsidR="00D34D5B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</w:pPr>
    </w:p>
    <w:p w:rsidR="00D34D5B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</w:pPr>
    </w:p>
    <w:p w:rsidR="00D34D5B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</w:pPr>
    </w:p>
    <w:p w:rsidR="00927EB8" w:rsidRPr="00D34D5B" w:rsidRDefault="00927EB8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 w:rsidRPr="00D34D5B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Консультация для родителей</w:t>
      </w:r>
    </w:p>
    <w:p w:rsidR="007812FE" w:rsidRDefault="00D916DE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bookmarkStart w:id="0" w:name="bookmark0"/>
      <w:r w:rsidRPr="00D34D5B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«</w:t>
      </w:r>
      <w:bookmarkEnd w:id="0"/>
      <w:r w:rsidR="003D4BAA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Творческие игры дошкольников</w:t>
      </w:r>
      <w:r w:rsidRPr="00D34D5B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»</w:t>
      </w:r>
    </w:p>
    <w:p w:rsidR="00D34D5B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D34D5B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D34D5B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D34D5B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D34D5B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D34D5B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D34D5B" w:rsidRPr="00D34D5B" w:rsidRDefault="00D34D5B" w:rsidP="00D34D5B">
      <w:pPr>
        <w:keepNext/>
        <w:keepLines/>
        <w:spacing w:after="120" w:line="240" w:lineRule="auto"/>
        <w:ind w:left="567" w:firstLine="142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</w:p>
    <w:p w:rsidR="00D34D5B" w:rsidRPr="00D34D5B" w:rsidRDefault="00D34D5B" w:rsidP="00D34D5B">
      <w:pPr>
        <w:keepNext/>
        <w:keepLines/>
        <w:spacing w:after="120" w:line="240" w:lineRule="auto"/>
        <w:ind w:left="567" w:firstLine="142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Подгорная Н.С.</w:t>
      </w:r>
    </w:p>
    <w:p w:rsidR="00D34D5B" w:rsidRDefault="00D34D5B" w:rsidP="00D34D5B">
      <w:pPr>
        <w:keepNext/>
        <w:keepLines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4D5B" w:rsidRDefault="00D34D5B" w:rsidP="00D34D5B">
      <w:pPr>
        <w:keepNext/>
        <w:keepLines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4D5B" w:rsidRDefault="00D34D5B" w:rsidP="00D34D5B">
      <w:pPr>
        <w:keepNext/>
        <w:keepLines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4D5B" w:rsidRDefault="00D34D5B" w:rsidP="00D34D5B">
      <w:pPr>
        <w:keepNext/>
        <w:keepLines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4D5B" w:rsidRPr="00D34D5B" w:rsidRDefault="00D34D5B" w:rsidP="00D34D5B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 - 2016</w:t>
      </w:r>
    </w:p>
    <w:p w:rsidR="00D34D5B" w:rsidRDefault="00D34D5B" w:rsidP="00D34D5B">
      <w:pPr>
        <w:keepNext/>
        <w:keepLines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4BAA" w:rsidRPr="003D4BAA" w:rsidRDefault="00D34D5B" w:rsidP="003D4BA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EF0B34" w:rsidRPr="003D4B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bookmarkStart w:id="1" w:name="bookmark1"/>
      <w:r w:rsidR="003D4BAA" w:rsidRPr="003D4BAA">
        <w:rPr>
          <w:rFonts w:ascii="Times New Roman" w:hAnsi="Times New Roman" w:cs="Times New Roman"/>
          <w:sz w:val="32"/>
          <w:szCs w:val="32"/>
        </w:rPr>
        <w:t>Творческая игра – это игра, которая создаётся самими детьми. В них игровой сюжет определяется самими играющими, нет заданной программы поведения детей, а действия ребёнка в воображаемой ситуации и осмысление её выступают на первый план</w:t>
      </w:r>
    </w:p>
    <w:p w:rsidR="003D4BAA" w:rsidRPr="003D4BAA" w:rsidRDefault="003D4BAA" w:rsidP="003D4B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Теоретические представления о сущности детской игры, развитые в отечественной психологии, в основном сводятся к следующему:</w:t>
      </w:r>
    </w:p>
    <w:p w:rsidR="003D4BAA" w:rsidRPr="003D4BAA" w:rsidRDefault="003D4BAA" w:rsidP="003D4BA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Игра занимает свое место в ряду других воспроизводящих деятельностей, являясь ведущей в дошкольном возрасте. Именно в процессе игры как ведущей деятельности возникают основные психические новообразования данного возраста.</w:t>
      </w:r>
    </w:p>
    <w:p w:rsidR="003D4BAA" w:rsidRPr="003D4BAA" w:rsidRDefault="003D4BAA" w:rsidP="003D4BA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Игра является особой, социальной по происхождению, содержанию и структуре деятельностью.</w:t>
      </w:r>
    </w:p>
    <w:p w:rsidR="003D4BAA" w:rsidRPr="003D4BAA" w:rsidRDefault="003D4BAA" w:rsidP="003D4BA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Развитие игры происходит не спонтанно, а зависит от условий воспитания ребенка, т.е. социальных явлений.</w:t>
      </w:r>
    </w:p>
    <w:p w:rsidR="003D4BAA" w:rsidRPr="003D4BAA" w:rsidRDefault="003D4BAA" w:rsidP="003D4B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Проблема обучения игре, формирования ее как деятельности выделялась и была наиболее отчетливо  сформулирована в психологических и педагогических исследований детей раннего возраста и аномальных детей. Эта проблема отчетливо сформулирована А.В. Запорожцем.</w:t>
      </w:r>
    </w:p>
    <w:p w:rsidR="003D4BAA" w:rsidRPr="003D4BAA" w:rsidRDefault="003D4BAA" w:rsidP="003D4B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В результате психологических исследований практическая педагогика оказалась ориентированной на формирование собственно игровой деятельности у детей раннего возраста. Однако</w:t>
      </w:r>
      <w:proofErr w:type="gramStart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proofErr w:type="gramEnd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отношению к детям дошкольного возраста педагогическое руководство игрой сводилось в основном к обогащению конкретного содержания игры, к организации положительных отношений в игре.</w:t>
      </w:r>
    </w:p>
    <w:p w:rsidR="003D4BAA" w:rsidRPr="003D4BAA" w:rsidRDefault="003D4BAA" w:rsidP="003D4B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Между тем, условное игровое действие, формирующиеся в раннем детстве и являющеюся, безусловно, основой более сложной игры дошкольника, еще не обеспечивает перехода к ней (с лежащем в центре её ролевым поведением и творческим построением сюжета).</w:t>
      </w:r>
      <w:proofErr w:type="gramEnd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результате игра крайне однообразна. Часто даже к старшему дошкольному возрасту, игровая деятельность детей не достигает своих развитых форм. Это заставляет ставить проблему формирования игровой деятельности более широко – как проблему постепенной передачи детям все более усложняющихся способов игровой деятельности на протяжении всего дошкольного детства.</w:t>
      </w:r>
    </w:p>
    <w:p w:rsidR="003D4BAA" w:rsidRPr="003D4BAA" w:rsidRDefault="003D4BAA" w:rsidP="003D4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В связи с этой проблемой встает ряд более частных задач:</w:t>
      </w:r>
    </w:p>
    <w:p w:rsidR="003D4BAA" w:rsidRPr="003D4BAA" w:rsidRDefault="003D4BAA" w:rsidP="003D4BA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какие способы игры должны формироваться у ребенка и в какой последовательности;</w:t>
      </w:r>
    </w:p>
    <w:p w:rsidR="003D4BAA" w:rsidRPr="003D4BAA" w:rsidRDefault="003D4BAA" w:rsidP="003D4BA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каким по характеру должны быть формирующие воздействия взрослого, и при каких условиях они будут наиболее эффективными;</w:t>
      </w:r>
    </w:p>
    <w:p w:rsidR="003D4BAA" w:rsidRPr="003D4BAA" w:rsidRDefault="003D4BAA" w:rsidP="003D4BA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какие формы игры будут в наибольшей степени способствовать психическому развитию ребенка на каждом этапе дошкольного возраста.</w:t>
      </w:r>
    </w:p>
    <w:p w:rsidR="003D4BAA" w:rsidRPr="003D4BAA" w:rsidRDefault="003D4BAA" w:rsidP="003D4BA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Подойти к решению этих задач можно, лишь предварительно  рассмотрев вопрос о значении игры для развития ребенка.</w:t>
      </w:r>
    </w:p>
    <w:p w:rsidR="003D4BAA" w:rsidRPr="003D4BAA" w:rsidRDefault="003D4BAA" w:rsidP="003D4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Более четко развивающие функции игры определены в отечественной психологии и педагогике.</w:t>
      </w:r>
    </w:p>
    <w:p w:rsidR="003D4BAA" w:rsidRPr="003D4BAA" w:rsidRDefault="003D4BAA" w:rsidP="003D4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Существенным для понимания развивающего значения игры представляются соображения, высказанные Л.А. </w:t>
      </w:r>
      <w:proofErr w:type="spellStart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Венгером</w:t>
      </w:r>
      <w:proofErr w:type="spellEnd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подчеркнувшим необходимость четкого определения специфического влияния игры на развитие ребенка. </w:t>
      </w:r>
      <w:proofErr w:type="spellStart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Венгер</w:t>
      </w:r>
      <w:proofErr w:type="spellEnd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исходит из того, что каждая конкретная деятельность требует определенных специфических для неё способностей и создает условия для их развития.</w:t>
      </w:r>
    </w:p>
    <w:p w:rsidR="003D4BAA" w:rsidRPr="003D4BAA" w:rsidRDefault="003D4BAA" w:rsidP="003D4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Д.Б. </w:t>
      </w:r>
      <w:proofErr w:type="spellStart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Эльконин</w:t>
      </w:r>
      <w:proofErr w:type="spellEnd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, рассматривая развивающую функцию игры, останавливается, прежде всего, на ее значении для развития мотивационных потребностей сферы ребенка.</w:t>
      </w:r>
    </w:p>
    <w:p w:rsidR="003D4BAA" w:rsidRPr="003D4BAA" w:rsidRDefault="003D4BAA" w:rsidP="003D4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развитие в игре воображения, образного мышления ребенка указывает Л.С. </w:t>
      </w:r>
      <w:proofErr w:type="spellStart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Выготский</w:t>
      </w:r>
      <w:proofErr w:type="spellEnd"/>
      <w:proofErr w:type="gramStart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Д.В. </w:t>
      </w:r>
      <w:proofErr w:type="spellStart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Меджерицкая</w:t>
      </w:r>
      <w:proofErr w:type="spellEnd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3D4BAA" w:rsidRPr="003D4BAA" w:rsidRDefault="003D4BAA" w:rsidP="003D4B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Обучение и развитие творчества происходит в единстве и взаимодействии. Это убедительно доказала </w:t>
      </w:r>
      <w:proofErr w:type="spellStart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Е.А.Флерина</w:t>
      </w:r>
      <w:proofErr w:type="spellEnd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подвергнув критике “теорию распада” детского творчества. Е.А. </w:t>
      </w:r>
      <w:proofErr w:type="spellStart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Флерина</w:t>
      </w:r>
      <w:proofErr w:type="spellEnd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доказала, что спад может наступить из-за отсутствия обучения или из-за плохого обучения; при правильном же руководстве и обучении творчество детей достигает относительно высокого уровня.</w:t>
      </w:r>
    </w:p>
    <w:p w:rsidR="003D4BAA" w:rsidRPr="003D4BAA" w:rsidRDefault="003D4BAA" w:rsidP="003D4B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В работах педагогов – психологов анализируется значение игры для морально – нравственного развития ребенка, прежде всего роль самого содержания игры, посредством которого происходит овладение ребенком нормами и правилами взаимоотношений между людьми.</w:t>
      </w:r>
    </w:p>
    <w:p w:rsidR="003D4BAA" w:rsidRPr="003D4BAA" w:rsidRDefault="003D4BAA" w:rsidP="003D4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По мнению Р.И.Жуковской, детей объединяют в игре общая цель, общие интересы и переживания, совместные усилия при достижении цели, творческие поиски.</w:t>
      </w:r>
    </w:p>
    <w:p w:rsidR="003D4BAA" w:rsidRPr="003D4BAA" w:rsidRDefault="003D4BAA" w:rsidP="003D4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Т.А.Маркова считает, что на развитие дружбы между детьми существенное влияние оказывает длительная по своему характеру творческая игра.</w:t>
      </w:r>
    </w:p>
    <w:p w:rsidR="003D4BAA" w:rsidRPr="003D4BAA" w:rsidRDefault="003D4BAA" w:rsidP="003D4B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Совместная игра создает условия для возникновения “детского общества” и реальных отношений в нем между детьми. А.П.Усова усматривает основное воспитательное значение игры именно в наличии у детей качеств “общественности” т.е. качеств, позволяющих успешно взаимодействовать с другими.</w:t>
      </w:r>
    </w:p>
    <w:p w:rsidR="003D4BAA" w:rsidRPr="003D4BAA" w:rsidRDefault="003D4BAA" w:rsidP="003D4B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Уже имеющиеся представления о развивающем значении развернутой формы игровой деятельности нуждаются в дополнении данными о том, как влияет игра на развитие ребенка на каждом возрастном этапе. Пока наука не располагает такими конкретными данными. Поэтому следует рассмотреть игровую деятельность с точки зрения  последовательного усложнения её строения и проследить возможности и особенности овладения ею детьми на различных возрастных этапах.</w:t>
      </w:r>
    </w:p>
    <w:p w:rsidR="003D4BAA" w:rsidRPr="003D4BAA" w:rsidRDefault="003D4BAA" w:rsidP="003D4B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Решение этого вопроса требует смыкания психологии и педагогики. В новом типе исследования – психолого-педагогическом, где особенности развития игровой деятельности ребенка изучаются в процессе её активного формирования. На необходимость такого типа исследований указывал еще </w:t>
      </w:r>
      <w:proofErr w:type="spellStart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Выготский</w:t>
      </w:r>
      <w:proofErr w:type="spellEnd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Дальнейшее развитие эта мысль получила в трудах психологов В.В. Давыдова, Д.Б. </w:t>
      </w:r>
      <w:proofErr w:type="spellStart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Эльконина</w:t>
      </w:r>
      <w:proofErr w:type="spellEnd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3D4BAA" w:rsidRPr="003D4BAA" w:rsidRDefault="003D4BAA" w:rsidP="003D4B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психологических исследованиях А.Н.Леонтьева, Д.Б. </w:t>
      </w:r>
      <w:proofErr w:type="spellStart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Эльконина</w:t>
      </w:r>
      <w:proofErr w:type="spellEnd"/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других развитие детской игры рассматривалось с точки зрения динамики мотивации и изменения психологического содержания деятельности.</w:t>
      </w:r>
    </w:p>
    <w:p w:rsidR="003D4BAA" w:rsidRPr="003D4BAA" w:rsidRDefault="003D4BAA" w:rsidP="003D4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Первый этап </w:t>
      </w: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развития игры связан с овладением ребенком специфическими функциями предметов, недоступных ему в его практической деятельности – практическая игра.</w:t>
      </w:r>
    </w:p>
    <w:p w:rsidR="003D4BAA" w:rsidRPr="003D4BAA" w:rsidRDefault="003D4BAA" w:rsidP="003D4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Второй этап</w:t>
      </w: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развития игры связан с овладением  отношениями между людьми, опосредствующими отношение к предмету – ролевая игра.</w:t>
      </w:r>
    </w:p>
    <w:p w:rsidR="003D4BAA" w:rsidRPr="003D4BAA" w:rsidRDefault="003D4BAA" w:rsidP="003D4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Третий этап</w:t>
      </w: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выделением скрытых в этих отношениях задач и правил человеческих действий и отношений – игры с правилами – и сдвигом мотива с процесса деятельности на её результат – игра-драматизация и игра-фантазирование.</w:t>
      </w:r>
    </w:p>
    <w:p w:rsidR="003D4BAA" w:rsidRPr="003D4BAA" w:rsidRDefault="003D4BAA" w:rsidP="003D4B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Детские игры чрезвычайно многообразны по содержанию, характеру организации, поэтому точная классификация их затруднена.</w:t>
      </w:r>
    </w:p>
    <w:p w:rsidR="003D4BAA" w:rsidRPr="003D4BAA" w:rsidRDefault="003D4BAA" w:rsidP="003D4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Основу классификации игр, которая принята в отечественной педагогике, заложил П.Ф.Лесгафт. Он подошел к решению этого вопроса, руководствуясь своей основной идеей единства физического и психологического развития ребенка.</w:t>
      </w:r>
    </w:p>
    <w:p w:rsidR="003D4BAA" w:rsidRPr="003D4BAA" w:rsidRDefault="003D4BAA" w:rsidP="003D4B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4BA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 отечественной педагогике вопрос о классификации детских игр уточнен в трудах Н.К. Крупской. В своих трудах она выделяет игры, которые создаются самими детьми, и организованные, с готовыми правилами.</w:t>
      </w:r>
    </w:p>
    <w:p w:rsidR="003D4BAA" w:rsidRDefault="003D4BAA" w:rsidP="003D4BAA"/>
    <w:p w:rsidR="0089234D" w:rsidRPr="007F1165" w:rsidRDefault="0089234D" w:rsidP="003D4BAA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</w:pPr>
      <w:r w:rsidRPr="007F1165"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  <w:t>Желаем вам успеха!</w:t>
      </w:r>
      <w:bookmarkEnd w:id="1"/>
    </w:p>
    <w:p w:rsidR="0089234D" w:rsidRDefault="0089234D" w:rsidP="0089234D"/>
    <w:sectPr w:rsidR="0089234D" w:rsidSect="003D4BAA">
      <w:pgSz w:w="11906" w:h="16838"/>
      <w:pgMar w:top="567" w:right="707" w:bottom="346" w:left="709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4481"/>
    <w:multiLevelType w:val="hybridMultilevel"/>
    <w:tmpl w:val="DA602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1563E"/>
    <w:multiLevelType w:val="hybridMultilevel"/>
    <w:tmpl w:val="8214C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2FE"/>
    <w:rsid w:val="00094B42"/>
    <w:rsid w:val="002008BC"/>
    <w:rsid w:val="002D1939"/>
    <w:rsid w:val="003D4BAA"/>
    <w:rsid w:val="00590396"/>
    <w:rsid w:val="005A3FCC"/>
    <w:rsid w:val="005E5B8A"/>
    <w:rsid w:val="006A36E7"/>
    <w:rsid w:val="007812FE"/>
    <w:rsid w:val="007F1165"/>
    <w:rsid w:val="0089234D"/>
    <w:rsid w:val="008B2183"/>
    <w:rsid w:val="00927EB8"/>
    <w:rsid w:val="00CA03B8"/>
    <w:rsid w:val="00D318A7"/>
    <w:rsid w:val="00D34D5B"/>
    <w:rsid w:val="00D916DE"/>
    <w:rsid w:val="00EF0B34"/>
    <w:rsid w:val="00F1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A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8F76-9078-467B-910B-FBD1DD28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1</cp:lastModifiedBy>
  <cp:revision>9</cp:revision>
  <cp:lastPrinted>2017-02-27T13:40:00Z</cp:lastPrinted>
  <dcterms:created xsi:type="dcterms:W3CDTF">2013-01-13T11:26:00Z</dcterms:created>
  <dcterms:modified xsi:type="dcterms:W3CDTF">2017-09-06T10:38:00Z</dcterms:modified>
</cp:coreProperties>
</file>